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A900" w14:textId="63C99FC2" w:rsidR="00C430B2" w:rsidRDefault="00C430B2" w:rsidP="00C430B2">
      <w:pPr>
        <w:jc w:val="center"/>
        <w:rPr>
          <w:rFonts w:asciiTheme="minorHAnsi" w:hAnsiTheme="minorHAnsi"/>
          <w:b/>
          <w:u w:val="single"/>
        </w:rPr>
      </w:pPr>
      <w:r w:rsidRPr="004D29F5">
        <w:rPr>
          <w:rFonts w:asciiTheme="minorHAnsi" w:hAnsiTheme="minorHAnsi"/>
          <w:b/>
          <w:u w:val="single"/>
        </w:rPr>
        <w:t xml:space="preserve">Bijlage </w:t>
      </w:r>
      <w:r w:rsidR="0004017A">
        <w:rPr>
          <w:rFonts w:asciiTheme="minorHAnsi" w:hAnsiTheme="minorHAnsi"/>
          <w:b/>
          <w:u w:val="single"/>
        </w:rPr>
        <w:t>bij het jaarrapport 202</w:t>
      </w:r>
      <w:r w:rsidR="009873A2">
        <w:rPr>
          <w:rFonts w:asciiTheme="minorHAnsi" w:hAnsiTheme="minorHAnsi"/>
          <w:b/>
          <w:u w:val="single"/>
        </w:rPr>
        <w:t>1</w:t>
      </w:r>
      <w:r w:rsidRPr="004D29F5">
        <w:rPr>
          <w:rFonts w:asciiTheme="minorHAnsi" w:hAnsiTheme="minorHAnsi"/>
          <w:b/>
          <w:u w:val="single"/>
        </w:rPr>
        <w:t>:  STATISTIEKEN MBT DE EVOLUTIE VAN DE TEWERKSTELLING</w:t>
      </w:r>
    </w:p>
    <w:p w14:paraId="57013AF1" w14:textId="77777777" w:rsidR="00C430B2" w:rsidRDefault="00C430B2" w:rsidP="00C430B2">
      <w:pPr>
        <w:rPr>
          <w:rFonts w:asciiTheme="minorHAnsi" w:hAnsiTheme="minorHAnsi"/>
          <w:b/>
          <w:u w:val="single"/>
        </w:rPr>
      </w:pPr>
    </w:p>
    <w:p w14:paraId="653F1680" w14:textId="77777777" w:rsidR="00C430B2" w:rsidRDefault="00C430B2" w:rsidP="00C430B2">
      <w:pPr>
        <w:jc w:val="both"/>
        <w:rPr>
          <w:rFonts w:asciiTheme="minorHAnsi" w:hAnsiTheme="minorHAnsi"/>
        </w:rPr>
      </w:pPr>
      <w:r w:rsidRPr="004D29F5">
        <w:rPr>
          <w:rFonts w:asciiTheme="minorHAnsi" w:hAnsiTheme="minorHAnsi"/>
        </w:rPr>
        <w:t xml:space="preserve">“Indien de werkgever zich genoodzaakt ziet om het arbeidsvolume, zoals bedoeld in artikel 50, te verminderen, moet hij hierover </w:t>
      </w:r>
      <w:r w:rsidRPr="004D29F5">
        <w:rPr>
          <w:rFonts w:asciiTheme="minorHAnsi" w:hAnsiTheme="minorHAnsi"/>
          <w:u w:val="single"/>
        </w:rPr>
        <w:t>vooraf</w:t>
      </w:r>
      <w:r>
        <w:rPr>
          <w:rFonts w:asciiTheme="minorHAnsi" w:hAnsiTheme="minorHAnsi"/>
        </w:rPr>
        <w:t xml:space="preserve"> schriftelijk melding maken aan het sectoraal f</w:t>
      </w:r>
      <w:r w:rsidRPr="004D29F5">
        <w:rPr>
          <w:rFonts w:asciiTheme="minorHAnsi" w:hAnsiTheme="minorHAnsi"/>
        </w:rPr>
        <w:t>onds om verder te kunnen genieten van de financiële tegemoetkomingen bepaald in dit b</w:t>
      </w:r>
      <w:r>
        <w:rPr>
          <w:rFonts w:asciiTheme="minorHAnsi" w:hAnsiTheme="minorHAnsi"/>
        </w:rPr>
        <w:t>esluit.  De informatie aan het f</w:t>
      </w:r>
      <w:r w:rsidRPr="004D29F5">
        <w:rPr>
          <w:rFonts w:asciiTheme="minorHAnsi" w:hAnsiTheme="minorHAnsi"/>
        </w:rPr>
        <w:t>onds moet de volgende gegevens bevatten: de vermindering van het arbeidsvolume uitgedrukt in voltijds equivalenten gedurende een volledig kalenderjaar, de datum vanaf dewelke de vermindering ingang vindt, de fases van deze vermindering alsook de reden die de vermindering va</w:t>
      </w:r>
      <w:r>
        <w:rPr>
          <w:rFonts w:asciiTheme="minorHAnsi" w:hAnsiTheme="minorHAnsi"/>
        </w:rPr>
        <w:t>n het arbeidsvolume veroorzaakt</w:t>
      </w:r>
      <w:r w:rsidRPr="004D29F5">
        <w:rPr>
          <w:rFonts w:asciiTheme="minorHAnsi" w:hAnsiTheme="minorHAnsi"/>
        </w:rPr>
        <w:t xml:space="preserve">” </w:t>
      </w:r>
      <w:r w:rsidRPr="003C5E11">
        <w:rPr>
          <w:rFonts w:asciiTheme="minorHAnsi" w:hAnsiTheme="minorHAnsi"/>
          <w:i/>
        </w:rPr>
        <w:t>(art 14 van het KB van 18/07/2002</w:t>
      </w:r>
      <w:r w:rsidRPr="004D29F5">
        <w:rPr>
          <w:rFonts w:asciiTheme="minorHAnsi" w:hAnsiTheme="minorHAnsi"/>
        </w:rPr>
        <w:t>)</w:t>
      </w:r>
      <w:r>
        <w:rPr>
          <w:rFonts w:asciiTheme="minorHAnsi" w:hAnsiTheme="minorHAnsi"/>
        </w:rPr>
        <w:t>.</w:t>
      </w:r>
    </w:p>
    <w:p w14:paraId="404F1C5E" w14:textId="77777777" w:rsidR="00C430B2" w:rsidRDefault="00C430B2" w:rsidP="00C430B2">
      <w:pPr>
        <w:jc w:val="both"/>
        <w:rPr>
          <w:rFonts w:asciiTheme="minorHAnsi" w:hAnsiTheme="minorHAnsi"/>
        </w:rPr>
      </w:pPr>
    </w:p>
    <w:p w14:paraId="36002342" w14:textId="77777777" w:rsidR="00C430B2" w:rsidRPr="004D29F5" w:rsidRDefault="00C430B2" w:rsidP="00C430B2">
      <w:pPr>
        <w:jc w:val="both"/>
        <w:rPr>
          <w:rFonts w:asciiTheme="minorHAnsi" w:hAnsiTheme="minorHAnsi"/>
          <w:i/>
          <w:u w:val="single"/>
        </w:rPr>
      </w:pPr>
      <w:r w:rsidRPr="004D29F5">
        <w:rPr>
          <w:rFonts w:asciiTheme="minorHAnsi" w:hAnsiTheme="minorHAnsi"/>
          <w:i/>
          <w:u w:val="single"/>
        </w:rPr>
        <w:t>Interpretatie van het begrip “daling van het arbeidsvolume”</w:t>
      </w:r>
    </w:p>
    <w:p w14:paraId="3E555E0A" w14:textId="77777777" w:rsidR="00C430B2" w:rsidRPr="004D29F5" w:rsidRDefault="00C430B2" w:rsidP="00C430B2">
      <w:pPr>
        <w:jc w:val="both"/>
        <w:rPr>
          <w:rFonts w:asciiTheme="minorHAnsi" w:hAnsiTheme="minorHAnsi"/>
        </w:rPr>
      </w:pPr>
      <w:r w:rsidRPr="004D29F5">
        <w:rPr>
          <w:rFonts w:asciiTheme="minorHAnsi" w:hAnsiTheme="minorHAnsi"/>
        </w:rPr>
        <w:t>Er kan gesteld worden dat de werkgever enkel die dalingen van het arbeidsvolume op voorhand moet meedelen aan het fonds, indien tezelfdertijd voldaan is aan beide volgende voorwaarden:</w:t>
      </w:r>
    </w:p>
    <w:p w14:paraId="6C056EE9" w14:textId="77777777" w:rsidR="00C430B2" w:rsidRPr="004D29F5" w:rsidRDefault="00C430B2" w:rsidP="00C430B2">
      <w:pPr>
        <w:pStyle w:val="Lijstalinea"/>
        <w:numPr>
          <w:ilvl w:val="0"/>
          <w:numId w:val="1"/>
        </w:numPr>
        <w:spacing w:after="200" w:line="276" w:lineRule="auto"/>
        <w:jc w:val="both"/>
        <w:rPr>
          <w:rFonts w:asciiTheme="minorHAnsi" w:hAnsiTheme="minorHAnsi"/>
        </w:rPr>
      </w:pPr>
      <w:r w:rsidRPr="004D29F5">
        <w:rPr>
          <w:rFonts w:asciiTheme="minorHAnsi" w:hAnsiTheme="minorHAnsi"/>
        </w:rPr>
        <w:t>De werkgever is zelf op voorhand op de hoogte van een komende daling van het arbeidsvolume.</w:t>
      </w:r>
    </w:p>
    <w:p w14:paraId="277CD336" w14:textId="77777777" w:rsidR="00C430B2" w:rsidRPr="004D29F5" w:rsidRDefault="00C430B2" w:rsidP="00C430B2">
      <w:pPr>
        <w:pStyle w:val="Lijstalinea"/>
        <w:numPr>
          <w:ilvl w:val="0"/>
          <w:numId w:val="1"/>
        </w:numPr>
        <w:spacing w:after="200" w:line="276" w:lineRule="auto"/>
        <w:jc w:val="both"/>
        <w:rPr>
          <w:rFonts w:asciiTheme="minorHAnsi" w:hAnsiTheme="minorHAnsi"/>
        </w:rPr>
      </w:pPr>
      <w:r w:rsidRPr="004D29F5">
        <w:rPr>
          <w:rFonts w:asciiTheme="minorHAnsi" w:hAnsiTheme="minorHAnsi"/>
        </w:rPr>
        <w:t>Het gaat om een structurele daling van het arbeidsvolume.</w:t>
      </w:r>
    </w:p>
    <w:p w14:paraId="7ABF8E1D" w14:textId="77777777" w:rsidR="00C430B2" w:rsidRPr="004D29F5" w:rsidRDefault="00C430B2" w:rsidP="00C430B2">
      <w:pPr>
        <w:rPr>
          <w:rFonts w:asciiTheme="minorHAnsi" w:hAnsiTheme="minorHAnsi"/>
        </w:rPr>
      </w:pPr>
      <w:r w:rsidRPr="004D29F5">
        <w:rPr>
          <w:rFonts w:asciiTheme="minorHAnsi" w:hAnsiTheme="minorHAnsi"/>
        </w:rPr>
        <w:t>Structurele dalingen van het arbeidsvolume zijn die dalingen van het arbeidsvolume die het gevolg zijn van een structurele ingreep van de werkgever of van een (subsidiërende) overheid.</w:t>
      </w:r>
      <w:r w:rsidRPr="004D29F5">
        <w:rPr>
          <w:rFonts w:asciiTheme="minorHAnsi" w:hAnsiTheme="minorHAnsi"/>
        </w:rPr>
        <w:br/>
        <w:t xml:space="preserve">Een </w:t>
      </w:r>
      <w:r w:rsidRPr="004D29F5">
        <w:rPr>
          <w:rFonts w:asciiTheme="minorHAnsi" w:hAnsiTheme="minorHAnsi"/>
          <w:b/>
        </w:rPr>
        <w:t>niet-exhaustieve lijst</w:t>
      </w:r>
      <w:r w:rsidRPr="004D29F5">
        <w:rPr>
          <w:rFonts w:asciiTheme="minorHAnsi" w:hAnsiTheme="minorHAnsi"/>
        </w:rPr>
        <w:t xml:space="preserve"> van voorbeelden hiervan zijn onder meer:</w:t>
      </w:r>
    </w:p>
    <w:p w14:paraId="21BBE406" w14:textId="77777777" w:rsidR="00C430B2" w:rsidRPr="004D29F5" w:rsidRDefault="00C430B2" w:rsidP="00C430B2">
      <w:pPr>
        <w:pStyle w:val="Lijstalinea"/>
        <w:numPr>
          <w:ilvl w:val="0"/>
          <w:numId w:val="2"/>
        </w:numPr>
        <w:spacing w:after="200" w:line="276" w:lineRule="auto"/>
        <w:rPr>
          <w:rFonts w:asciiTheme="minorHAnsi" w:hAnsiTheme="minorHAnsi"/>
        </w:rPr>
      </w:pPr>
      <w:r w:rsidRPr="004D29F5">
        <w:rPr>
          <w:rFonts w:asciiTheme="minorHAnsi" w:hAnsiTheme="minorHAnsi"/>
        </w:rPr>
        <w:t>Een werkgever beslist om een deel van zijn activiteiten stop te zetten of over te hevelen naar een dienst waar de werknemers onder een ander paritair comité ressorteren.</w:t>
      </w:r>
    </w:p>
    <w:p w14:paraId="40278CD3" w14:textId="77777777" w:rsidR="00C430B2" w:rsidRPr="004D29F5" w:rsidRDefault="00C430B2" w:rsidP="00C430B2">
      <w:pPr>
        <w:pStyle w:val="Lijstalinea"/>
        <w:numPr>
          <w:ilvl w:val="0"/>
          <w:numId w:val="2"/>
        </w:numPr>
        <w:spacing w:after="200" w:line="276" w:lineRule="auto"/>
        <w:rPr>
          <w:rFonts w:asciiTheme="minorHAnsi" w:hAnsiTheme="minorHAnsi"/>
        </w:rPr>
      </w:pPr>
      <w:r w:rsidRPr="004D29F5">
        <w:rPr>
          <w:rFonts w:asciiTheme="minorHAnsi" w:hAnsiTheme="minorHAnsi"/>
        </w:rPr>
        <w:t>Een werkgever ziet zich genoodzaakt zijn organisatie te herstructureren, waardoor tegelijk het arbeidsvolume zal verminderd worden.</w:t>
      </w:r>
    </w:p>
    <w:p w14:paraId="485261E7" w14:textId="77777777" w:rsidR="00C430B2" w:rsidRPr="004D29F5" w:rsidRDefault="00C430B2" w:rsidP="00C430B2">
      <w:pPr>
        <w:pStyle w:val="Lijstalinea"/>
        <w:numPr>
          <w:ilvl w:val="0"/>
          <w:numId w:val="2"/>
        </w:numPr>
        <w:spacing w:after="200" w:line="276" w:lineRule="auto"/>
        <w:rPr>
          <w:rFonts w:asciiTheme="minorHAnsi" w:hAnsiTheme="minorHAnsi"/>
        </w:rPr>
      </w:pPr>
      <w:r w:rsidRPr="004D29F5">
        <w:rPr>
          <w:rFonts w:asciiTheme="minorHAnsi" w:hAnsiTheme="minorHAnsi"/>
        </w:rPr>
        <w:t>Een werkgever bevindt zich in financiële moeilijkheden waardoor hij beslist het arbeidsvolume te verminderen.</w:t>
      </w:r>
    </w:p>
    <w:p w14:paraId="1B82C04C" w14:textId="77777777" w:rsidR="00C430B2" w:rsidRPr="004D29F5" w:rsidRDefault="00C430B2" w:rsidP="00C430B2">
      <w:pPr>
        <w:pStyle w:val="Lijstalinea"/>
        <w:numPr>
          <w:ilvl w:val="0"/>
          <w:numId w:val="2"/>
        </w:numPr>
        <w:spacing w:after="200" w:line="276" w:lineRule="auto"/>
        <w:rPr>
          <w:rFonts w:asciiTheme="minorHAnsi" w:hAnsiTheme="minorHAnsi"/>
        </w:rPr>
      </w:pPr>
      <w:r w:rsidRPr="004D29F5">
        <w:rPr>
          <w:rFonts w:asciiTheme="minorHAnsi" w:hAnsiTheme="minorHAnsi"/>
        </w:rPr>
        <w:t>Een overheid vermindert (een deel van) de subsidies, waardoor de werkgever werknemers moet laten afvloeien.</w:t>
      </w:r>
    </w:p>
    <w:p w14:paraId="0217F43C" w14:textId="77777777" w:rsidR="00C430B2" w:rsidRPr="004D29F5" w:rsidRDefault="00C430B2" w:rsidP="00C430B2">
      <w:pPr>
        <w:pStyle w:val="Lijstalinea"/>
        <w:numPr>
          <w:ilvl w:val="0"/>
          <w:numId w:val="2"/>
        </w:numPr>
        <w:spacing w:after="200" w:line="276" w:lineRule="auto"/>
        <w:rPr>
          <w:rFonts w:asciiTheme="minorHAnsi" w:hAnsiTheme="minorHAnsi"/>
        </w:rPr>
      </w:pPr>
      <w:r w:rsidRPr="004D29F5">
        <w:rPr>
          <w:rFonts w:asciiTheme="minorHAnsi" w:hAnsiTheme="minorHAnsi"/>
        </w:rPr>
        <w:t>Een overheid trekt een toelating om het uitoefenen van (een deel van) bepaalde activiteiten in.</w:t>
      </w:r>
    </w:p>
    <w:p w14:paraId="6C01665B" w14:textId="77777777" w:rsidR="00C430B2" w:rsidRPr="004D29F5" w:rsidRDefault="00C430B2" w:rsidP="00C430B2">
      <w:pPr>
        <w:pStyle w:val="Lijstalinea"/>
        <w:numPr>
          <w:ilvl w:val="0"/>
          <w:numId w:val="2"/>
        </w:numPr>
        <w:spacing w:after="200" w:line="276" w:lineRule="auto"/>
        <w:rPr>
          <w:rFonts w:asciiTheme="minorHAnsi" w:hAnsiTheme="minorHAnsi"/>
        </w:rPr>
      </w:pPr>
      <w:r w:rsidRPr="004D29F5">
        <w:rPr>
          <w:rFonts w:asciiTheme="minorHAnsi" w:hAnsiTheme="minorHAnsi"/>
        </w:rPr>
        <w:t>Een overheid verplicht werkgevers in samenwerkingsverbanden te werken, waardoor tegelijk arbeidsplaatsen bij de individuele werkgevers verloren gaan.</w:t>
      </w:r>
    </w:p>
    <w:p w14:paraId="0CC0929F" w14:textId="77777777" w:rsidR="00C430B2" w:rsidRPr="004D29F5" w:rsidRDefault="00C430B2" w:rsidP="00C430B2">
      <w:pPr>
        <w:pStyle w:val="Lijstalinea"/>
        <w:numPr>
          <w:ilvl w:val="0"/>
          <w:numId w:val="2"/>
        </w:numPr>
        <w:spacing w:after="200" w:line="276" w:lineRule="auto"/>
        <w:jc w:val="both"/>
        <w:rPr>
          <w:rFonts w:asciiTheme="minorHAnsi" w:hAnsiTheme="minorHAnsi"/>
        </w:rPr>
      </w:pPr>
      <w:r w:rsidRPr="004D29F5">
        <w:rPr>
          <w:rFonts w:asciiTheme="minorHAnsi" w:hAnsiTheme="minorHAnsi"/>
        </w:rPr>
        <w:t>……</w:t>
      </w:r>
    </w:p>
    <w:p w14:paraId="52C594FC" w14:textId="77777777" w:rsidR="00C430B2" w:rsidRDefault="00C430B2" w:rsidP="00C430B2">
      <w:pPr>
        <w:jc w:val="both"/>
        <w:rPr>
          <w:rFonts w:asciiTheme="minorHAnsi" w:hAnsiTheme="minorHAnsi"/>
        </w:rPr>
      </w:pPr>
      <w:r w:rsidRPr="004D29F5">
        <w:rPr>
          <w:rFonts w:asciiTheme="minorHAnsi" w:hAnsiTheme="minorHAnsi"/>
        </w:rPr>
        <w:t>De andere vormen van daling van het arbeidsvolume kunnen eerder als conjunctureel of behorend tot de dagdagelijkse kleine wijzigingen in het personeelsbestand worden beschouwd en zijn niet altijd op voorhand bekend bij de werkgever en moeten niet aan het fonds gemeld worden.</w:t>
      </w:r>
      <w:r w:rsidRPr="005B1517">
        <w:rPr>
          <w:rFonts w:asciiTheme="minorHAnsi" w:hAnsiTheme="minorHAnsi"/>
        </w:rPr>
        <w:t xml:space="preserve"> </w:t>
      </w:r>
      <w:r w:rsidRPr="004D29F5">
        <w:rPr>
          <w:rFonts w:asciiTheme="minorHAnsi" w:hAnsiTheme="minorHAnsi"/>
        </w:rPr>
        <w:t xml:space="preserve">Wij vragen u alleszins bij een te verwachten daling van het arbeidsvolume steeds zo snel mogelijk contact op te nemen met het </w:t>
      </w:r>
      <w:r>
        <w:rPr>
          <w:rFonts w:asciiTheme="minorHAnsi" w:hAnsiTheme="minorHAnsi"/>
        </w:rPr>
        <w:t>f</w:t>
      </w:r>
      <w:r w:rsidRPr="004D29F5">
        <w:rPr>
          <w:rFonts w:asciiTheme="minorHAnsi" w:hAnsiTheme="minorHAnsi"/>
        </w:rPr>
        <w:t>onds.</w:t>
      </w:r>
    </w:p>
    <w:p w14:paraId="00F15C5F" w14:textId="77777777" w:rsidR="00C430B2" w:rsidRDefault="00C430B2" w:rsidP="00C430B2">
      <w:pPr>
        <w:jc w:val="both"/>
        <w:rPr>
          <w:rFonts w:asciiTheme="minorHAnsi" w:hAnsiTheme="minorHAnsi"/>
        </w:rPr>
      </w:pPr>
    </w:p>
    <w:p w14:paraId="46714D4D" w14:textId="77777777" w:rsidR="00C430B2" w:rsidRDefault="00C430B2" w:rsidP="00C430B2">
      <w:pPr>
        <w:jc w:val="both"/>
        <w:rPr>
          <w:rFonts w:asciiTheme="minorHAnsi" w:hAnsiTheme="minorHAnsi"/>
          <w:sz w:val="22"/>
          <w:szCs w:val="22"/>
        </w:rPr>
      </w:pPr>
      <w:r w:rsidRPr="00296487">
        <w:rPr>
          <w:rFonts w:asciiTheme="minorHAnsi" w:hAnsiTheme="minorHAnsi"/>
          <w:u w:val="single"/>
        </w:rPr>
        <w:t>Art 50 uit het KB:</w:t>
      </w:r>
      <w:r>
        <w:rPr>
          <w:rFonts w:asciiTheme="minorHAnsi" w:hAnsiTheme="minorHAnsi"/>
        </w:rPr>
        <w:t xml:space="preserve"> </w:t>
      </w:r>
      <w:r w:rsidRPr="004D29F5" w:rsidDel="005B1517">
        <w:rPr>
          <w:rFonts w:asciiTheme="minorHAnsi" w:hAnsiTheme="minorHAnsi"/>
        </w:rPr>
        <w:t xml:space="preserve"> </w:t>
      </w:r>
    </w:p>
    <w:p w14:paraId="03AF63EF" w14:textId="77777777" w:rsidR="00C430B2" w:rsidRPr="00296487" w:rsidRDefault="00C430B2" w:rsidP="00C430B2">
      <w:pPr>
        <w:tabs>
          <w:tab w:val="right" w:pos="7938"/>
          <w:tab w:val="right" w:pos="8222"/>
          <w:tab w:val="right" w:pos="8505"/>
          <w:tab w:val="right" w:pos="8789"/>
          <w:tab w:val="right" w:pos="9072"/>
        </w:tabs>
        <w:spacing w:after="200" w:line="276" w:lineRule="auto"/>
        <w:rPr>
          <w:rFonts w:asciiTheme="minorHAnsi" w:hAnsiTheme="minorHAnsi"/>
          <w:sz w:val="18"/>
          <w:szCs w:val="18"/>
        </w:rPr>
      </w:pPr>
      <w:r w:rsidRPr="00296487">
        <w:rPr>
          <w:rFonts w:asciiTheme="minorHAnsi" w:hAnsiTheme="minorHAnsi"/>
          <w:sz w:val="18"/>
          <w:szCs w:val="18"/>
        </w:rPr>
        <w:t>§ 1. In de loop van de maand oktober van elk jaar, deelt de RSZ aan de leidend ambtenaar van de FOD Waso het arbeidsvolume uitgedrukt in voltijdse equivalenten van de werknemers die onder de toepassing vallen van dit besluit per werkgever, mede en gegroepeerd per paritair comité, paritair subcomité of raamakkoord, met betrekking tot het voorafgaande jaar. Het arbeidsvolume wordt berekend per werkgever en uitgedrukt in voltijds equivalenten, waarbij één voltijds equivalent overeenkomt met de voltijdse tewerkstelling van één werknemer gedurende een volledig kwartaal op basis van de aangifte van de werknemer waarbij zowel de bezoldigde dagen, vakantiedagen als alle gelijkgestelde dagen in rekening worden gebracht.</w:t>
      </w:r>
      <w:r w:rsidRPr="00296487">
        <w:rPr>
          <w:rFonts w:asciiTheme="minorHAnsi" w:hAnsiTheme="minorHAnsi"/>
          <w:sz w:val="18"/>
          <w:szCs w:val="18"/>
        </w:rPr>
        <w:br/>
        <w:t>Het arbeidsvolume van een paritair comité of een paritair subcomité wordt bekomen door het arbeidsvolume van de werkgevers die eronder vallen, te totaliseren.</w:t>
      </w:r>
      <w:r w:rsidRPr="00296487">
        <w:rPr>
          <w:rFonts w:asciiTheme="minorHAnsi" w:hAnsiTheme="minorHAnsi"/>
          <w:sz w:val="18"/>
          <w:szCs w:val="18"/>
        </w:rPr>
        <w:br/>
        <w:t>De leidend ambtenaar van de FOD Waso maakt de gegevens bedoeld in § 1 over aan elk sectoraal Fonds.</w:t>
      </w:r>
      <w:r w:rsidRPr="00296487">
        <w:rPr>
          <w:rFonts w:asciiTheme="minorHAnsi" w:hAnsiTheme="minorHAnsi"/>
          <w:sz w:val="18"/>
          <w:szCs w:val="18"/>
        </w:rPr>
        <w:br/>
      </w:r>
      <w:r w:rsidRPr="00296487">
        <w:rPr>
          <w:rFonts w:asciiTheme="minorHAnsi" w:hAnsiTheme="minorHAnsi"/>
          <w:sz w:val="18"/>
          <w:szCs w:val="18"/>
        </w:rPr>
        <w:lastRenderedPageBreak/>
        <w:t>§ 2. Het beheerscomité vergelijkt per werkgever het gemiddelde van de arbeidsvolumes uit jaar (n-3) en (n-2) met het arbeidsvolume van het jaar van de laatste toekenning. Indien het beheerscomité vaststelt dat het verschil van het arbeidsvolume kleiner is dan het verschil van het aantal tussenkomsten bedoeld in artikel 12 en hij de meldingen zoals bedoeld in artikel 14 niet heeft goedgekeurd, vraagt het beheerscomité aan de werkgever het verschil te rechtvaardigen en meldt hem dat bij uitblijven van een antwoord of van een motivering goedgekeurd door het beheerscomité, de werkgever aan het Fonds de tussenkomsten bedoeld in artikel 12 en met betrekking tot dat jaar terug zal moeten storten. Deze terugvordering is beperkt tot het gedeelte dat groter is dan het verschil van het arbeidsvolume.</w:t>
      </w:r>
      <w:r w:rsidRPr="00296487">
        <w:rPr>
          <w:rFonts w:asciiTheme="minorHAnsi" w:hAnsiTheme="minorHAnsi"/>
          <w:sz w:val="18"/>
          <w:szCs w:val="18"/>
        </w:rPr>
        <w:br/>
        <w:t>Voor zover de werkgever een rechtvaardiging heeft doorgestuurd in de maand tijdens dewelke de vraag hem werd overgemaakt, spreekt het beheerscomité zich uit over deze rechtvaardiging. Als het beheerscomité de rechtvaardiging niet goedkeurt, vraagt hij de werkgever hem het niet-gerechtvaardigde deel terug te storten.</w:t>
      </w:r>
    </w:p>
    <w:sectPr w:rsidR="00C430B2" w:rsidRPr="00296487" w:rsidSect="00E3437D">
      <w:headerReference w:type="even" r:id="rId7"/>
      <w:headerReference w:type="default" r:id="rId8"/>
      <w:footerReference w:type="even" r:id="rId9"/>
      <w:footerReference w:type="default" r:id="rId10"/>
      <w:headerReference w:type="first" r:id="rId11"/>
      <w:footerReference w:type="first" r:id="rId12"/>
      <w:pgSz w:w="11900" w:h="16840"/>
      <w:pgMar w:top="1134" w:right="1701" w:bottom="181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76E6" w14:textId="77777777" w:rsidR="00C430B2" w:rsidRDefault="00C430B2" w:rsidP="001425A5">
      <w:r>
        <w:separator/>
      </w:r>
    </w:p>
  </w:endnote>
  <w:endnote w:type="continuationSeparator" w:id="0">
    <w:p w14:paraId="711C255D" w14:textId="77777777" w:rsidR="00C430B2" w:rsidRDefault="00C430B2" w:rsidP="0014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5CE6" w14:textId="77777777" w:rsidR="009115E8" w:rsidRDefault="009115E8" w:rsidP="00DA319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48CCC2" w14:textId="77777777" w:rsidR="009115E8" w:rsidRDefault="009115E8" w:rsidP="009115E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9DC2" w14:textId="77777777" w:rsidR="009115E8" w:rsidRPr="009115E8" w:rsidRDefault="009115E8" w:rsidP="009115E8">
    <w:pPr>
      <w:pStyle w:val="Voettekst"/>
      <w:framePr w:wrap="none" w:vAnchor="text" w:hAnchor="margin" w:xAlign="right" w:y="-283"/>
      <w:rPr>
        <w:rStyle w:val="Paginanummer"/>
      </w:rPr>
    </w:pPr>
    <w:r w:rsidRPr="009115E8">
      <w:rPr>
        <w:rStyle w:val="Paginanummer"/>
      </w:rPr>
      <w:fldChar w:fldCharType="begin"/>
    </w:r>
    <w:r w:rsidRPr="009115E8">
      <w:rPr>
        <w:rStyle w:val="Paginanummer"/>
      </w:rPr>
      <w:instrText xml:space="preserve">PAGE  </w:instrText>
    </w:r>
    <w:r w:rsidRPr="009115E8">
      <w:rPr>
        <w:rStyle w:val="Paginanummer"/>
      </w:rPr>
      <w:fldChar w:fldCharType="separate"/>
    </w:r>
    <w:r w:rsidR="0004017A">
      <w:rPr>
        <w:rStyle w:val="Paginanummer"/>
        <w:noProof/>
      </w:rPr>
      <w:t>2</w:t>
    </w:r>
    <w:r w:rsidRPr="009115E8">
      <w:rPr>
        <w:rStyle w:val="Paginanummer"/>
      </w:rPr>
      <w:fldChar w:fldCharType="end"/>
    </w:r>
  </w:p>
  <w:tbl>
    <w:tblPr>
      <w:tblStyle w:val="Tabelrasterlicht1"/>
      <w:tblW w:w="8505" w:type="dxa"/>
      <w:tblBorders>
        <w:top w:val="single" w:sz="48" w:space="0" w:color="9C4889"/>
        <w:left w:val="none" w:sz="0" w:space="0" w:color="auto"/>
        <w:bottom w:val="none" w:sz="0" w:space="0" w:color="auto"/>
        <w:right w:val="none" w:sz="0" w:space="0" w:color="auto"/>
        <w:insideH w:val="single" w:sz="6" w:space="0" w:color="9C4889"/>
        <w:insideV w:val="none" w:sz="0" w:space="0" w:color="auto"/>
      </w:tblBorders>
      <w:tblLayout w:type="fixed"/>
      <w:tblCellMar>
        <w:top w:w="142" w:type="dxa"/>
        <w:left w:w="0" w:type="dxa"/>
        <w:right w:w="0" w:type="dxa"/>
      </w:tblCellMar>
      <w:tblLook w:val="04A0" w:firstRow="1" w:lastRow="0" w:firstColumn="1" w:lastColumn="0" w:noHBand="0" w:noVBand="1"/>
    </w:tblPr>
    <w:tblGrid>
      <w:gridCol w:w="4734"/>
      <w:gridCol w:w="2580"/>
      <w:gridCol w:w="1191"/>
    </w:tblGrid>
    <w:tr w:rsidR="00DD5887" w14:paraId="4C2CE0AA" w14:textId="77777777" w:rsidTr="00411611">
      <w:trPr>
        <w:cantSplit/>
      </w:trPr>
      <w:tc>
        <w:tcPr>
          <w:tcW w:w="4734" w:type="dxa"/>
        </w:tcPr>
        <w:p w14:paraId="45EB1024" w14:textId="77777777" w:rsidR="00DD5887" w:rsidRPr="00636C32" w:rsidRDefault="00DD5887" w:rsidP="00411611">
          <w:pPr>
            <w:pStyle w:val="BasicParagraph"/>
            <w:spacing w:line="240" w:lineRule="auto"/>
            <w:ind w:right="360"/>
            <w:rPr>
              <w:rFonts w:asciiTheme="minorHAnsi" w:hAnsiTheme="minorHAnsi" w:cs="Lato-Regular"/>
              <w:color w:val="595959" w:themeColor="text1" w:themeTint="A6"/>
              <w:szCs w:val="14"/>
            </w:rPr>
          </w:pPr>
          <w:r w:rsidRPr="00DA2D9F">
            <w:rPr>
              <w:rFonts w:asciiTheme="minorHAnsi" w:hAnsiTheme="minorHAnsi" w:cs="Lato-Regular"/>
              <w:color w:val="595959" w:themeColor="text1" w:themeTint="A6"/>
              <w:szCs w:val="14"/>
            </w:rPr>
            <w:t>Sainctelettesquare 13 – 15, 1000 Brussel</w:t>
          </w:r>
        </w:p>
      </w:tc>
      <w:tc>
        <w:tcPr>
          <w:tcW w:w="2580" w:type="dxa"/>
        </w:tcPr>
        <w:p w14:paraId="65D707DF" w14:textId="77777777" w:rsidR="00DD5887" w:rsidRPr="00636C32" w:rsidRDefault="00DD5887" w:rsidP="00411611">
          <w:pPr>
            <w:pStyle w:val="BasicParagraph"/>
            <w:spacing w:line="240" w:lineRule="auto"/>
            <w:rPr>
              <w:rFonts w:asciiTheme="minorHAnsi" w:hAnsiTheme="minorHAnsi" w:cs="Lato-Regular"/>
              <w:color w:val="595959" w:themeColor="text1" w:themeTint="A6"/>
              <w:szCs w:val="14"/>
            </w:rPr>
          </w:pPr>
          <w:r>
            <w:rPr>
              <w:rFonts w:asciiTheme="minorHAnsi" w:hAnsiTheme="minorHAnsi" w:cs="Lato-Regular"/>
              <w:color w:val="595959" w:themeColor="text1" w:themeTint="A6"/>
              <w:szCs w:val="14"/>
            </w:rPr>
            <w:t>info@vspf.org</w:t>
          </w:r>
          <w:r w:rsidRPr="00DA2D9F">
            <w:rPr>
              <w:rFonts w:asciiTheme="minorHAnsi" w:hAnsiTheme="minorHAnsi" w:cs="Lato-Regular"/>
              <w:color w:val="595959" w:themeColor="text1" w:themeTint="A6"/>
              <w:szCs w:val="14"/>
            </w:rPr>
            <w:t xml:space="preserve"> </w:t>
          </w:r>
        </w:p>
      </w:tc>
      <w:tc>
        <w:tcPr>
          <w:tcW w:w="1191" w:type="dxa"/>
        </w:tcPr>
        <w:p w14:paraId="0555EB34" w14:textId="77777777" w:rsidR="00DD5887" w:rsidRPr="00636C32" w:rsidRDefault="00DD5887" w:rsidP="00411611">
          <w:pPr>
            <w:pStyle w:val="BasicParagraph"/>
            <w:spacing w:line="240" w:lineRule="auto"/>
            <w:rPr>
              <w:rFonts w:asciiTheme="minorHAnsi" w:hAnsiTheme="minorHAnsi" w:cs="Lato-Regular"/>
              <w:b/>
              <w:color w:val="9C4889"/>
              <w:szCs w:val="14"/>
            </w:rPr>
          </w:pPr>
          <w:r w:rsidRPr="00DA2D9F">
            <w:rPr>
              <w:rFonts w:asciiTheme="minorHAnsi" w:hAnsiTheme="minorHAnsi" w:cs="Lato-Regular"/>
              <w:b/>
              <w:color w:val="9C4889"/>
              <w:szCs w:val="14"/>
            </w:rPr>
            <w:t>www.</w:t>
          </w:r>
          <w:r w:rsidRPr="00583DED">
            <w:rPr>
              <w:rFonts w:asciiTheme="minorHAnsi" w:hAnsiTheme="minorHAnsi" w:cs="Lato-Regular"/>
              <w:b/>
              <w:color w:val="9C4889"/>
              <w:szCs w:val="14"/>
            </w:rPr>
            <w:t>vspf.org</w:t>
          </w:r>
        </w:p>
      </w:tc>
    </w:tr>
  </w:tbl>
  <w:p w14:paraId="70B3AB21" w14:textId="77777777" w:rsidR="00DD5887" w:rsidRDefault="00DD58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4996" w14:textId="77777777" w:rsidR="00FB24C2" w:rsidRPr="00FB24C2" w:rsidRDefault="00FB24C2" w:rsidP="00FB24C2">
    <w:pPr>
      <w:pStyle w:val="Voettekst"/>
      <w:framePr w:wrap="none" w:vAnchor="text" w:hAnchor="page" w:x="10102" w:y="-282"/>
      <w:rPr>
        <w:rStyle w:val="Paginanummer"/>
      </w:rPr>
    </w:pPr>
    <w:r w:rsidRPr="00FB24C2">
      <w:rPr>
        <w:rStyle w:val="Paginanummer"/>
      </w:rPr>
      <w:fldChar w:fldCharType="begin"/>
    </w:r>
    <w:r w:rsidRPr="00FB24C2">
      <w:rPr>
        <w:rStyle w:val="Paginanummer"/>
      </w:rPr>
      <w:instrText xml:space="preserve">PAGE  </w:instrText>
    </w:r>
    <w:r w:rsidRPr="00FB24C2">
      <w:rPr>
        <w:rStyle w:val="Paginanummer"/>
      </w:rPr>
      <w:fldChar w:fldCharType="separate"/>
    </w:r>
    <w:r w:rsidR="0004017A">
      <w:rPr>
        <w:rStyle w:val="Paginanummer"/>
        <w:noProof/>
      </w:rPr>
      <w:t>1</w:t>
    </w:r>
    <w:r w:rsidRPr="00FB24C2">
      <w:rPr>
        <w:rStyle w:val="Paginanummer"/>
      </w:rPr>
      <w:fldChar w:fldCharType="end"/>
    </w:r>
  </w:p>
  <w:tbl>
    <w:tblPr>
      <w:tblStyle w:val="Tabelrasterlicht1"/>
      <w:tblW w:w="8505" w:type="dxa"/>
      <w:tblBorders>
        <w:top w:val="single" w:sz="48" w:space="0" w:color="9C4889"/>
        <w:left w:val="none" w:sz="0" w:space="0" w:color="auto"/>
        <w:bottom w:val="none" w:sz="0" w:space="0" w:color="auto"/>
        <w:right w:val="none" w:sz="0" w:space="0" w:color="auto"/>
        <w:insideH w:val="single" w:sz="6" w:space="0" w:color="9C4889"/>
        <w:insideV w:val="none" w:sz="0" w:space="0" w:color="auto"/>
      </w:tblBorders>
      <w:tblLayout w:type="fixed"/>
      <w:tblCellMar>
        <w:top w:w="142" w:type="dxa"/>
        <w:left w:w="0" w:type="dxa"/>
        <w:right w:w="0" w:type="dxa"/>
      </w:tblCellMar>
      <w:tblLook w:val="04A0" w:firstRow="1" w:lastRow="0" w:firstColumn="1" w:lastColumn="0" w:noHBand="0" w:noVBand="1"/>
    </w:tblPr>
    <w:tblGrid>
      <w:gridCol w:w="4734"/>
      <w:gridCol w:w="2580"/>
      <w:gridCol w:w="1191"/>
    </w:tblGrid>
    <w:tr w:rsidR="001425A5" w14:paraId="65FB296D" w14:textId="77777777" w:rsidTr="00411611">
      <w:trPr>
        <w:cantSplit/>
      </w:trPr>
      <w:tc>
        <w:tcPr>
          <w:tcW w:w="4734" w:type="dxa"/>
        </w:tcPr>
        <w:p w14:paraId="765CD731" w14:textId="77777777" w:rsidR="001425A5" w:rsidRPr="00636C32" w:rsidRDefault="001425A5" w:rsidP="00411611">
          <w:pPr>
            <w:pStyle w:val="BasicParagraph"/>
            <w:spacing w:line="240" w:lineRule="auto"/>
            <w:ind w:right="360"/>
            <w:rPr>
              <w:rFonts w:asciiTheme="minorHAnsi" w:hAnsiTheme="minorHAnsi" w:cs="Lato-Regular"/>
              <w:color w:val="595959" w:themeColor="text1" w:themeTint="A6"/>
              <w:szCs w:val="14"/>
            </w:rPr>
          </w:pPr>
          <w:r w:rsidRPr="00DA2D9F">
            <w:rPr>
              <w:rFonts w:asciiTheme="minorHAnsi" w:hAnsiTheme="minorHAnsi" w:cs="Lato-Regular"/>
              <w:color w:val="595959" w:themeColor="text1" w:themeTint="A6"/>
              <w:szCs w:val="14"/>
            </w:rPr>
            <w:t>Sainctelettesquare 13 – 15, 1000 Brussel</w:t>
          </w:r>
        </w:p>
      </w:tc>
      <w:tc>
        <w:tcPr>
          <w:tcW w:w="2580" w:type="dxa"/>
        </w:tcPr>
        <w:p w14:paraId="62B87746" w14:textId="77777777" w:rsidR="001425A5" w:rsidRPr="00636C32" w:rsidRDefault="001425A5" w:rsidP="00411611">
          <w:pPr>
            <w:pStyle w:val="BasicParagraph"/>
            <w:spacing w:line="240" w:lineRule="auto"/>
            <w:rPr>
              <w:rFonts w:asciiTheme="minorHAnsi" w:hAnsiTheme="minorHAnsi" w:cs="Lato-Regular"/>
              <w:color w:val="595959" w:themeColor="text1" w:themeTint="A6"/>
              <w:szCs w:val="14"/>
            </w:rPr>
          </w:pPr>
          <w:r>
            <w:rPr>
              <w:rFonts w:asciiTheme="minorHAnsi" w:hAnsiTheme="minorHAnsi" w:cs="Lato-Regular"/>
              <w:color w:val="595959" w:themeColor="text1" w:themeTint="A6"/>
              <w:szCs w:val="14"/>
            </w:rPr>
            <w:t>info@vspf.org</w:t>
          </w:r>
          <w:r w:rsidRPr="00DA2D9F">
            <w:rPr>
              <w:rFonts w:asciiTheme="minorHAnsi" w:hAnsiTheme="minorHAnsi" w:cs="Lato-Regular"/>
              <w:color w:val="595959" w:themeColor="text1" w:themeTint="A6"/>
              <w:szCs w:val="14"/>
            </w:rPr>
            <w:t xml:space="preserve"> </w:t>
          </w:r>
        </w:p>
      </w:tc>
      <w:tc>
        <w:tcPr>
          <w:tcW w:w="1191" w:type="dxa"/>
        </w:tcPr>
        <w:p w14:paraId="59C497AA" w14:textId="77777777" w:rsidR="001425A5" w:rsidRPr="00636C32" w:rsidRDefault="001425A5" w:rsidP="00411611">
          <w:pPr>
            <w:pStyle w:val="BasicParagraph"/>
            <w:spacing w:line="240" w:lineRule="auto"/>
            <w:rPr>
              <w:rFonts w:asciiTheme="minorHAnsi" w:hAnsiTheme="minorHAnsi" w:cs="Lato-Regular"/>
              <w:b/>
              <w:color w:val="9C4889"/>
              <w:szCs w:val="14"/>
            </w:rPr>
          </w:pPr>
          <w:r w:rsidRPr="00DA2D9F">
            <w:rPr>
              <w:rFonts w:asciiTheme="minorHAnsi" w:hAnsiTheme="minorHAnsi" w:cs="Lato-Regular"/>
              <w:b/>
              <w:color w:val="9C4889"/>
              <w:szCs w:val="14"/>
            </w:rPr>
            <w:t>www.</w:t>
          </w:r>
          <w:r w:rsidRPr="00583DED">
            <w:rPr>
              <w:rFonts w:asciiTheme="minorHAnsi" w:hAnsiTheme="minorHAnsi" w:cs="Lato-Regular"/>
              <w:b/>
              <w:color w:val="9C4889"/>
              <w:szCs w:val="14"/>
            </w:rPr>
            <w:t>vspf.org</w:t>
          </w:r>
        </w:p>
      </w:tc>
    </w:tr>
  </w:tbl>
  <w:p w14:paraId="6F711E2D" w14:textId="77777777" w:rsidR="001425A5" w:rsidRDefault="001425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8869" w14:textId="77777777" w:rsidR="00C430B2" w:rsidRDefault="00C430B2" w:rsidP="001425A5">
      <w:r>
        <w:separator/>
      </w:r>
    </w:p>
  </w:footnote>
  <w:footnote w:type="continuationSeparator" w:id="0">
    <w:p w14:paraId="49F39846" w14:textId="77777777" w:rsidR="00C430B2" w:rsidRDefault="00C430B2" w:rsidP="0014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619C" w14:textId="77777777" w:rsidR="00EA0273" w:rsidRDefault="00EA02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C91B" w14:textId="77777777" w:rsidR="00EA0273" w:rsidRDefault="00EA02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3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3"/>
      <w:gridCol w:w="2333"/>
      <w:gridCol w:w="2333"/>
      <w:gridCol w:w="2333"/>
    </w:tblGrid>
    <w:tr w:rsidR="00EA0273" w14:paraId="1C40E81B" w14:textId="77777777" w:rsidTr="00411611">
      <w:trPr>
        <w:jc w:val="center"/>
      </w:trPr>
      <w:tc>
        <w:tcPr>
          <w:tcW w:w="2333" w:type="dxa"/>
        </w:tcPr>
        <w:p w14:paraId="4D96C76F" w14:textId="77777777" w:rsidR="00EA0273" w:rsidRDefault="00EA0273" w:rsidP="00411611">
          <w:r>
            <w:rPr>
              <w:noProof/>
              <w:lang w:val="nl-BE" w:eastAsia="nl-BE"/>
            </w:rPr>
            <w:drawing>
              <wp:inline distT="0" distB="0" distL="0" distR="0" wp14:anchorId="206ADC26" wp14:editId="3E8C6C1B">
                <wp:extent cx="1475232" cy="11521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SPF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232" cy="1152144"/>
                        </a:xfrm>
                        <a:prstGeom prst="rect">
                          <a:avLst/>
                        </a:prstGeom>
                      </pic:spPr>
                    </pic:pic>
                  </a:graphicData>
                </a:graphic>
              </wp:inline>
            </w:drawing>
          </w:r>
        </w:p>
      </w:tc>
      <w:tc>
        <w:tcPr>
          <w:tcW w:w="2333" w:type="dxa"/>
        </w:tcPr>
        <w:p w14:paraId="2C6DBE8C" w14:textId="77777777" w:rsidR="00EA0273" w:rsidRDefault="00EA0273" w:rsidP="00411611"/>
      </w:tc>
      <w:tc>
        <w:tcPr>
          <w:tcW w:w="2333" w:type="dxa"/>
        </w:tcPr>
        <w:p w14:paraId="0933D6CE" w14:textId="77777777" w:rsidR="00EA0273" w:rsidRDefault="00EA0273" w:rsidP="00411611"/>
      </w:tc>
      <w:tc>
        <w:tcPr>
          <w:tcW w:w="2333" w:type="dxa"/>
        </w:tcPr>
        <w:p w14:paraId="24C45D6D" w14:textId="77777777" w:rsidR="00EA0273" w:rsidRDefault="00BF4227" w:rsidP="00411611">
          <w:r>
            <w:rPr>
              <w:noProof/>
              <w:lang w:val="nl-BE" w:eastAsia="nl-BE"/>
            </w:rPr>
            <w:drawing>
              <wp:inline distT="0" distB="0" distL="0" distR="0" wp14:anchorId="2C1C1A88" wp14:editId="4D329B43">
                <wp:extent cx="1474470" cy="1153160"/>
                <wp:effectExtent l="0" t="0" r="0" b="8890"/>
                <wp:docPr id="2" name="Afbeelding 2" descr="O:\VSPF\Medewerkers\huisstijl\sjablonen\TeGebruikenHeaders\Logo_SMF_331_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SPF\Medewerkers\huisstijl\sjablonen\TeGebruikenHeaders\Logo_SMF_331_header.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1153160"/>
                        </a:xfrm>
                        <a:prstGeom prst="rect">
                          <a:avLst/>
                        </a:prstGeom>
                        <a:noFill/>
                        <a:ln>
                          <a:noFill/>
                        </a:ln>
                      </pic:spPr>
                    </pic:pic>
                  </a:graphicData>
                </a:graphic>
              </wp:inline>
            </w:drawing>
          </w:r>
        </w:p>
      </w:tc>
    </w:tr>
  </w:tbl>
  <w:p w14:paraId="01150E8E" w14:textId="77777777" w:rsidR="001425A5" w:rsidRDefault="001425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42C"/>
    <w:multiLevelType w:val="hybridMultilevel"/>
    <w:tmpl w:val="1FE62F0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1344F9"/>
    <w:multiLevelType w:val="hybridMultilevel"/>
    <w:tmpl w:val="99A25B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B2"/>
    <w:rsid w:val="0004017A"/>
    <w:rsid w:val="000727C6"/>
    <w:rsid w:val="001425A5"/>
    <w:rsid w:val="001F7AC6"/>
    <w:rsid w:val="002B30D9"/>
    <w:rsid w:val="00442BAA"/>
    <w:rsid w:val="006C713C"/>
    <w:rsid w:val="007B2EA4"/>
    <w:rsid w:val="00863A6B"/>
    <w:rsid w:val="009115E8"/>
    <w:rsid w:val="009873A2"/>
    <w:rsid w:val="009B2E49"/>
    <w:rsid w:val="00BF4227"/>
    <w:rsid w:val="00C430B2"/>
    <w:rsid w:val="00DD5887"/>
    <w:rsid w:val="00E3437D"/>
    <w:rsid w:val="00EA0273"/>
    <w:rsid w:val="00FA5756"/>
    <w:rsid w:val="00FB24C2"/>
    <w:rsid w:val="00FF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D094"/>
  <w15:docId w15:val="{832323D2-3E3B-4315-8DF4-00675754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0B2"/>
    <w:rPr>
      <w:rFonts w:ascii="Times New Roman" w:eastAsia="Times New Roman" w:hAnsi="Times New Roman" w:cs="Times New Roman"/>
      <w:sz w:val="20"/>
      <w:szCs w:val="20"/>
      <w:lang w:val="nl-NL" w:eastAsia="nl-NL"/>
    </w:rPr>
  </w:style>
  <w:style w:type="paragraph" w:styleId="Kop1">
    <w:name w:val="heading 1"/>
    <w:basedOn w:val="Standaard"/>
    <w:link w:val="Kop1Char"/>
    <w:uiPriority w:val="9"/>
    <w:qFormat/>
    <w:rsid w:val="00E3437D"/>
    <w:pPr>
      <w:spacing w:before="100" w:beforeAutospacing="1" w:after="100" w:afterAutospacing="1"/>
      <w:outlineLvl w:val="0"/>
    </w:pPr>
    <w:rPr>
      <w:b/>
      <w:bCs/>
      <w:kern w:val="36"/>
      <w:sz w:val="48"/>
      <w:szCs w:val="48"/>
      <w:lang w:eastAsia="en-GB"/>
    </w:rPr>
  </w:style>
  <w:style w:type="paragraph" w:styleId="Kop2">
    <w:name w:val="heading 2"/>
    <w:basedOn w:val="Standaard"/>
    <w:link w:val="Kop2Char"/>
    <w:uiPriority w:val="9"/>
    <w:qFormat/>
    <w:rsid w:val="00E3437D"/>
    <w:pPr>
      <w:spacing w:before="100" w:beforeAutospacing="1" w:after="100" w:afterAutospacing="1"/>
      <w:outlineLvl w:val="1"/>
    </w:pPr>
    <w:rPr>
      <w:b/>
      <w:bCs/>
      <w:sz w:val="36"/>
      <w:szCs w:val="36"/>
      <w:lang w:eastAsia="en-GB"/>
    </w:rPr>
  </w:style>
  <w:style w:type="paragraph" w:styleId="Kop4">
    <w:name w:val="heading 4"/>
    <w:basedOn w:val="Standaard"/>
    <w:link w:val="Kop4Char"/>
    <w:uiPriority w:val="9"/>
    <w:qFormat/>
    <w:rsid w:val="00E3437D"/>
    <w:pPr>
      <w:spacing w:before="100" w:beforeAutospacing="1" w:after="100" w:afterAutospacing="1"/>
      <w:outlineLvl w:val="3"/>
    </w:pPr>
    <w:rPr>
      <w:b/>
      <w:bCs/>
      <w:lang w:eastAsia="en-GB"/>
    </w:rPr>
  </w:style>
  <w:style w:type="paragraph" w:styleId="Kop5">
    <w:name w:val="heading 5"/>
    <w:basedOn w:val="Standaard"/>
    <w:link w:val="Kop5Char"/>
    <w:uiPriority w:val="9"/>
    <w:qFormat/>
    <w:rsid w:val="00E3437D"/>
    <w:pPr>
      <w:spacing w:before="100" w:beforeAutospacing="1" w:after="100" w:afterAutospacing="1"/>
      <w:outlineLvl w:val="4"/>
    </w:pPr>
    <w:rPr>
      <w:b/>
      <w:bCs/>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25A5"/>
    <w:pPr>
      <w:tabs>
        <w:tab w:val="center" w:pos="4680"/>
        <w:tab w:val="right" w:pos="9360"/>
      </w:tabs>
    </w:pPr>
  </w:style>
  <w:style w:type="character" w:customStyle="1" w:styleId="KoptekstChar">
    <w:name w:val="Koptekst Char"/>
    <w:basedOn w:val="Standaardalinea-lettertype"/>
    <w:link w:val="Koptekst"/>
    <w:uiPriority w:val="99"/>
    <w:rsid w:val="001425A5"/>
  </w:style>
  <w:style w:type="paragraph" w:styleId="Voettekst">
    <w:name w:val="footer"/>
    <w:basedOn w:val="Standaard"/>
    <w:link w:val="VoettekstChar"/>
    <w:uiPriority w:val="99"/>
    <w:unhideWhenUsed/>
    <w:rsid w:val="001425A5"/>
    <w:pPr>
      <w:tabs>
        <w:tab w:val="center" w:pos="4680"/>
        <w:tab w:val="right" w:pos="9360"/>
      </w:tabs>
    </w:pPr>
  </w:style>
  <w:style w:type="character" w:customStyle="1" w:styleId="VoettekstChar">
    <w:name w:val="Voettekst Char"/>
    <w:basedOn w:val="Standaardalinea-lettertype"/>
    <w:link w:val="Voettekst"/>
    <w:uiPriority w:val="99"/>
    <w:rsid w:val="001425A5"/>
  </w:style>
  <w:style w:type="table" w:styleId="Tabelraster">
    <w:name w:val="Table Grid"/>
    <w:basedOn w:val="Standaardtabel"/>
    <w:uiPriority w:val="39"/>
    <w:rsid w:val="001425A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ard"/>
    <w:uiPriority w:val="99"/>
    <w:rsid w:val="001425A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customStyle="1" w:styleId="Tabelrasterlicht1">
    <w:name w:val="Tabelraster licht1"/>
    <w:basedOn w:val="Standaardtabel"/>
    <w:uiPriority w:val="40"/>
    <w:rsid w:val="001425A5"/>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E3437D"/>
    <w:rPr>
      <w:rFonts w:ascii="Times New Roman" w:hAnsi="Times New Roman"/>
      <w:b/>
      <w:bCs/>
      <w:kern w:val="36"/>
      <w:sz w:val="48"/>
      <w:szCs w:val="48"/>
      <w:lang w:eastAsia="en-GB"/>
    </w:rPr>
  </w:style>
  <w:style w:type="character" w:customStyle="1" w:styleId="Kop2Char">
    <w:name w:val="Kop 2 Char"/>
    <w:basedOn w:val="Standaardalinea-lettertype"/>
    <w:link w:val="Kop2"/>
    <w:uiPriority w:val="9"/>
    <w:rsid w:val="00E3437D"/>
    <w:rPr>
      <w:rFonts w:ascii="Times New Roman" w:hAnsi="Times New Roman"/>
      <w:b/>
      <w:bCs/>
      <w:sz w:val="36"/>
      <w:szCs w:val="36"/>
      <w:lang w:eastAsia="en-GB"/>
    </w:rPr>
  </w:style>
  <w:style w:type="character" w:customStyle="1" w:styleId="Kop4Char">
    <w:name w:val="Kop 4 Char"/>
    <w:basedOn w:val="Standaardalinea-lettertype"/>
    <w:link w:val="Kop4"/>
    <w:uiPriority w:val="9"/>
    <w:rsid w:val="00E3437D"/>
    <w:rPr>
      <w:rFonts w:ascii="Times New Roman" w:hAnsi="Times New Roman"/>
      <w:b/>
      <w:bCs/>
      <w:lang w:eastAsia="en-GB"/>
    </w:rPr>
  </w:style>
  <w:style w:type="character" w:customStyle="1" w:styleId="Kop5Char">
    <w:name w:val="Kop 5 Char"/>
    <w:basedOn w:val="Standaardalinea-lettertype"/>
    <w:link w:val="Kop5"/>
    <w:uiPriority w:val="9"/>
    <w:rsid w:val="00E3437D"/>
    <w:rPr>
      <w:rFonts w:ascii="Times New Roman" w:hAnsi="Times New Roman"/>
      <w:b/>
      <w:bCs/>
      <w:sz w:val="20"/>
      <w:szCs w:val="20"/>
      <w:lang w:eastAsia="en-GB"/>
    </w:rPr>
  </w:style>
  <w:style w:type="paragraph" w:styleId="Normaalweb">
    <w:name w:val="Normal (Web)"/>
    <w:basedOn w:val="Standaard"/>
    <w:uiPriority w:val="99"/>
    <w:semiHidden/>
    <w:unhideWhenUsed/>
    <w:rsid w:val="00E3437D"/>
    <w:pPr>
      <w:spacing w:before="100" w:beforeAutospacing="1" w:after="100" w:afterAutospacing="1"/>
    </w:pPr>
    <w:rPr>
      <w:lang w:eastAsia="en-GB"/>
    </w:rPr>
  </w:style>
  <w:style w:type="character" w:styleId="Zwaar">
    <w:name w:val="Strong"/>
    <w:basedOn w:val="Standaardalinea-lettertype"/>
    <w:uiPriority w:val="22"/>
    <w:qFormat/>
    <w:rsid w:val="00E3437D"/>
    <w:rPr>
      <w:b/>
      <w:bCs/>
    </w:rPr>
  </w:style>
  <w:style w:type="character" w:customStyle="1" w:styleId="apple-converted-space">
    <w:name w:val="apple-converted-space"/>
    <w:basedOn w:val="Standaardalinea-lettertype"/>
    <w:rsid w:val="00E3437D"/>
  </w:style>
  <w:style w:type="character" w:styleId="Paginanummer">
    <w:name w:val="page number"/>
    <w:basedOn w:val="Standaardalinea-lettertype"/>
    <w:uiPriority w:val="99"/>
    <w:semiHidden/>
    <w:unhideWhenUsed/>
    <w:rsid w:val="00FB24C2"/>
  </w:style>
  <w:style w:type="paragraph" w:styleId="Ballontekst">
    <w:name w:val="Balloon Text"/>
    <w:basedOn w:val="Standaard"/>
    <w:link w:val="BallontekstChar"/>
    <w:uiPriority w:val="99"/>
    <w:semiHidden/>
    <w:unhideWhenUsed/>
    <w:rsid w:val="00BF4227"/>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227"/>
    <w:rPr>
      <w:rFonts w:ascii="Tahoma" w:hAnsi="Tahoma" w:cs="Tahoma"/>
      <w:sz w:val="16"/>
      <w:szCs w:val="16"/>
    </w:rPr>
  </w:style>
  <w:style w:type="paragraph" w:styleId="Lijstalinea">
    <w:name w:val="List Paragraph"/>
    <w:basedOn w:val="Standaard"/>
    <w:uiPriority w:val="34"/>
    <w:qFormat/>
    <w:rsid w:val="00C4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2502">
      <w:bodyDiv w:val="1"/>
      <w:marLeft w:val="0"/>
      <w:marRight w:val="0"/>
      <w:marTop w:val="0"/>
      <w:marBottom w:val="0"/>
      <w:divBdr>
        <w:top w:val="none" w:sz="0" w:space="0" w:color="auto"/>
        <w:left w:val="none" w:sz="0" w:space="0" w:color="auto"/>
        <w:bottom w:val="none" w:sz="0" w:space="0" w:color="auto"/>
        <w:right w:val="none" w:sz="0" w:space="0" w:color="auto"/>
      </w:divBdr>
      <w:divsChild>
        <w:div w:id="431049728">
          <w:marLeft w:val="0"/>
          <w:marRight w:val="0"/>
          <w:marTop w:val="225"/>
          <w:marBottom w:val="0"/>
          <w:divBdr>
            <w:top w:val="none" w:sz="0" w:space="0" w:color="auto"/>
            <w:left w:val="none" w:sz="0" w:space="0" w:color="auto"/>
            <w:bottom w:val="none" w:sz="0" w:space="0" w:color="auto"/>
            <w:right w:val="none" w:sz="0" w:space="0" w:color="auto"/>
          </w:divBdr>
          <w:divsChild>
            <w:div w:id="1262106896">
              <w:marLeft w:val="432"/>
              <w:marRight w:val="216"/>
              <w:marTop w:val="0"/>
              <w:marBottom w:val="0"/>
              <w:divBdr>
                <w:top w:val="none" w:sz="0" w:space="0" w:color="auto"/>
                <w:left w:val="none" w:sz="0" w:space="0" w:color="auto"/>
                <w:bottom w:val="none" w:sz="0" w:space="0" w:color="auto"/>
                <w:right w:val="none" w:sz="0" w:space="0" w:color="auto"/>
              </w:divBdr>
            </w:div>
            <w:div w:id="958611467">
              <w:marLeft w:val="216"/>
              <w:marRight w:val="432"/>
              <w:marTop w:val="0"/>
              <w:marBottom w:val="0"/>
              <w:divBdr>
                <w:top w:val="none" w:sz="0" w:space="0" w:color="auto"/>
                <w:left w:val="none" w:sz="0" w:space="0" w:color="auto"/>
                <w:bottom w:val="none" w:sz="0" w:space="0" w:color="auto"/>
                <w:right w:val="none" w:sz="0" w:space="0" w:color="auto"/>
              </w:divBdr>
            </w:div>
            <w:div w:id="2092117739">
              <w:marLeft w:val="432"/>
              <w:marRight w:val="216"/>
              <w:marTop w:val="0"/>
              <w:marBottom w:val="0"/>
              <w:divBdr>
                <w:top w:val="none" w:sz="0" w:space="0" w:color="auto"/>
                <w:left w:val="none" w:sz="0" w:space="0" w:color="auto"/>
                <w:bottom w:val="none" w:sz="0" w:space="0" w:color="auto"/>
                <w:right w:val="none" w:sz="0" w:space="0" w:color="auto"/>
              </w:divBdr>
            </w:div>
            <w:div w:id="72633410">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518155956">
      <w:bodyDiv w:val="1"/>
      <w:marLeft w:val="0"/>
      <w:marRight w:val="0"/>
      <w:marTop w:val="0"/>
      <w:marBottom w:val="0"/>
      <w:divBdr>
        <w:top w:val="none" w:sz="0" w:space="0" w:color="auto"/>
        <w:left w:val="none" w:sz="0" w:space="0" w:color="auto"/>
        <w:bottom w:val="none" w:sz="0" w:space="0" w:color="auto"/>
        <w:right w:val="none" w:sz="0" w:space="0" w:color="auto"/>
      </w:divBdr>
      <w:divsChild>
        <w:div w:id="792214991">
          <w:marLeft w:val="432"/>
          <w:marRight w:val="216"/>
          <w:marTop w:val="0"/>
          <w:marBottom w:val="0"/>
          <w:divBdr>
            <w:top w:val="none" w:sz="0" w:space="0" w:color="auto"/>
            <w:left w:val="none" w:sz="0" w:space="0" w:color="auto"/>
            <w:bottom w:val="none" w:sz="0" w:space="0" w:color="auto"/>
            <w:right w:val="none" w:sz="0" w:space="0" w:color="auto"/>
          </w:divBdr>
        </w:div>
        <w:div w:id="1168865716">
          <w:marLeft w:val="216"/>
          <w:marRight w:val="432"/>
          <w:marTop w:val="0"/>
          <w:marBottom w:val="0"/>
          <w:divBdr>
            <w:top w:val="none" w:sz="0" w:space="0" w:color="auto"/>
            <w:left w:val="none" w:sz="0" w:space="0" w:color="auto"/>
            <w:bottom w:val="none" w:sz="0" w:space="0" w:color="auto"/>
            <w:right w:val="none" w:sz="0" w:space="0" w:color="auto"/>
          </w:divBdr>
        </w:div>
        <w:div w:id="513686336">
          <w:marLeft w:val="432"/>
          <w:marRight w:val="216"/>
          <w:marTop w:val="0"/>
          <w:marBottom w:val="0"/>
          <w:divBdr>
            <w:top w:val="none" w:sz="0" w:space="0" w:color="auto"/>
            <w:left w:val="none" w:sz="0" w:space="0" w:color="auto"/>
            <w:bottom w:val="none" w:sz="0" w:space="0" w:color="auto"/>
            <w:right w:val="none" w:sz="0" w:space="0" w:color="auto"/>
          </w:divBdr>
        </w:div>
        <w:div w:id="826752510">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Schouppe</dc:creator>
  <cp:lastModifiedBy>Sjoerd Brouwer</cp:lastModifiedBy>
  <cp:revision>3</cp:revision>
  <dcterms:created xsi:type="dcterms:W3CDTF">2021-04-07T08:50:00Z</dcterms:created>
  <dcterms:modified xsi:type="dcterms:W3CDTF">2022-03-03T10:55:00Z</dcterms:modified>
</cp:coreProperties>
</file>